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36"/>
          <w:szCs w:val="36"/>
        </w:rPr>
      </w:pPr>
      <w:r>
        <w:rPr>
          <w:sz w:val="36"/>
          <w:szCs w:val="36"/>
          <w:rtl w:val="0"/>
          <w:lang w:val="en-US"/>
        </w:rPr>
        <w:t>Budnik Estate</w:t>
      </w:r>
    </w:p>
    <w:p>
      <w:pPr>
        <w:pStyle w:val="Body"/>
        <w:jc w:val="center"/>
        <w:rPr>
          <w:sz w:val="36"/>
          <w:szCs w:val="36"/>
        </w:rPr>
      </w:pPr>
    </w:p>
    <w:p>
      <w:pPr>
        <w:pStyle w:val="Body"/>
        <w:jc w:val="left"/>
      </w:pPr>
      <w:r>
        <w:rPr>
          <w:sz w:val="26"/>
          <w:szCs w:val="26"/>
          <w:rtl w:val="0"/>
          <w:lang w:val="en-US"/>
        </w:rPr>
        <w:t>The Board of Directors has engaged a professional financial advisor to assist us in managing the funds from the Thomas Budnik estate. The money has been prudently invested to protect the principal and earn returns that may be used to provide programs and implement strategic goals that fall outside the annual operating budget.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